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95" w:y="6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pt;height:45pt;">
            <v:imagedata r:id="rId5" r:href="rId6"/>
          </v:shape>
        </w:pict>
      </w:r>
    </w:p>
    <w:p>
      <w:pPr>
        <w:pStyle w:val="Style3"/>
        <w:framePr w:w="9331" w:h="3841" w:hRule="exact" w:wrap="none" w:vAnchor="page" w:hAnchor="page" w:x="1600" w:y="1571"/>
        <w:widowControl w:val="0"/>
        <w:keepNext w:val="0"/>
        <w:keepLines w:val="0"/>
        <w:shd w:val="clear" w:color="auto" w:fill="auto"/>
        <w:bidi w:val="0"/>
        <w:spacing w:before="0" w:after="40"/>
        <w:ind w:left="280" w:right="50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ЦЕНТРАЛЬНЫЙ БАНК</w:t>
        <w:br/>
        <w:t>РОССИЙСКОЙ ФЕДЕРАЦИИ</w:t>
        <w:br/>
        <w:t>(БАНК РОССИИ)</w:t>
      </w:r>
    </w:p>
    <w:p>
      <w:pPr>
        <w:pStyle w:val="Style3"/>
        <w:framePr w:w="9331" w:h="3841" w:hRule="exact" w:wrap="none" w:vAnchor="page" w:hAnchor="page" w:x="1600" w:y="1571"/>
        <w:widowControl w:val="0"/>
        <w:keepNext w:val="0"/>
        <w:keepLines w:val="0"/>
        <w:shd w:val="clear" w:color="auto" w:fill="auto"/>
        <w:bidi w:val="0"/>
        <w:spacing w:before="0" w:after="115" w:line="284" w:lineRule="exact"/>
        <w:ind w:left="160" w:right="50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Сибирское</w:t>
        <w:br/>
        <w:t>главное управление</w:t>
        <w:br/>
        <w:t>Отделение по Красноярскому краю</w:t>
      </w:r>
    </w:p>
    <w:p>
      <w:pPr>
        <w:pStyle w:val="Style5"/>
        <w:framePr w:w="9331" w:h="3841" w:hRule="exact" w:wrap="none" w:vAnchor="page" w:hAnchor="page" w:x="1600" w:y="1571"/>
        <w:widowControl w:val="0"/>
        <w:keepNext w:val="0"/>
        <w:keepLines w:val="0"/>
        <w:shd w:val="clear" w:color="auto" w:fill="auto"/>
        <w:bidi w:val="0"/>
        <w:spacing w:before="0" w:after="81"/>
        <w:ind w:left="160" w:right="50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660049, Российская Федерация,</w:t>
        <w:br/>
        <w:t>Красноярский край, г.о. г. Красноярск,</w:t>
        <w:br/>
        <w:t>г. Красноярск, ул. Дубровинского, зд. 70</w:t>
      </w:r>
    </w:p>
    <w:p>
      <w:pPr>
        <w:pStyle w:val="Style5"/>
        <w:framePr w:w="9331" w:h="3841" w:hRule="exact" w:wrap="none" w:vAnchor="page" w:hAnchor="page" w:x="1600" w:y="1571"/>
        <w:widowControl w:val="0"/>
        <w:keepNext w:val="0"/>
        <w:keepLines w:val="0"/>
        <w:shd w:val="clear" w:color="auto" w:fill="auto"/>
        <w:bidi w:val="0"/>
        <w:spacing w:before="0" w:after="90" w:line="190" w:lineRule="exact"/>
        <w:ind w:left="160" w:right="5047" w:firstLine="0"/>
      </w:pPr>
      <w:r>
        <w:fldChar w:fldCharType="begin"/>
      </w:r>
      <w:r>
        <w:rPr>
          <w:color w:val="000000"/>
        </w:rPr>
        <w:instrText> HYPERLINK "http://www.cbr.ru"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www.cbr.ru</w:t>
      </w:r>
      <w:r>
        <w:fldChar w:fldCharType="end"/>
      </w:r>
    </w:p>
    <w:p>
      <w:pPr>
        <w:pStyle w:val="Style7"/>
        <w:framePr w:w="9331" w:h="3841" w:hRule="exact" w:wrap="none" w:vAnchor="page" w:hAnchor="page" w:x="1600" w:y="1571"/>
        <w:tabs>
          <w:tab w:leader="none" w:pos="26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50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9"/>
        </w:rPr>
        <w:t>12 04</w:t>
      </w:r>
      <w:r>
        <w:rPr>
          <w:rStyle w:val="CharStyle10"/>
        </w:rPr>
        <w:t>-ДаУ^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№ </w:t>
      </w:r>
      <w:r>
        <w:rPr>
          <w:rStyle w:val="CharStyle9"/>
        </w:rPr>
        <w:t>Т</w:t>
        <w:tab/>
        <w:t xml:space="preserve">Ц - 2т- </w:t>
      </w:r>
      <w:r>
        <w:rPr>
          <w:rStyle w:val="CharStyle9"/>
          <w:lang w:val="en-US" w:eastAsia="en-US" w:bidi="en-US"/>
        </w:rPr>
        <w:t>f</w:t>
      </w:r>
      <w:r>
        <w:rPr>
          <w:rStyle w:val="CharStyle9"/>
        </w:rPr>
        <w:t>У А&amp;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ЗЗ</w:t>
      </w:r>
    </w:p>
    <w:p>
      <w:pPr>
        <w:pStyle w:val="Style7"/>
        <w:framePr w:w="9331" w:h="3841" w:hRule="exact" w:wrap="none" w:vAnchor="page" w:hAnchor="page" w:x="1600" w:y="1571"/>
        <w:tabs>
          <w:tab w:leader="none" w:pos="1948" w:val="left"/>
          <w:tab w:leader="underscore" w:pos="3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50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X®</w:t>
        <w:tab/>
        <w:t xml:space="preserve">от </w:t>
        <w:tab/>
      </w:r>
    </w:p>
    <w:p>
      <w:pPr>
        <w:pStyle w:val="Style11"/>
        <w:framePr w:w="2718" w:h="1909" w:hRule="exact" w:wrap="none" w:vAnchor="page" w:hAnchor="page" w:x="6500" w:y="1654"/>
        <w:widowControl w:val="0"/>
        <w:keepNext w:val="0"/>
        <w:keepLines w:val="0"/>
        <w:shd w:val="clear" w:color="auto" w:fill="auto"/>
        <w:bidi w:val="0"/>
        <w:jc w:val="both"/>
        <w:spacing w:before="0" w:after="274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Министру образования Красноярского края</w:t>
      </w:r>
    </w:p>
    <w:p>
      <w:pPr>
        <w:pStyle w:val="Style11"/>
        <w:framePr w:w="2718" w:h="1909" w:hRule="exact" w:wrap="none" w:vAnchor="page" w:hAnchor="page" w:x="6500" w:y="1654"/>
        <w:widowControl w:val="0"/>
        <w:keepNext w:val="0"/>
        <w:keepLines w:val="0"/>
        <w:shd w:val="clear" w:color="auto" w:fill="auto"/>
        <w:bidi w:val="0"/>
        <w:jc w:val="both"/>
        <w:spacing w:before="0" w:after="294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С.И. Маковской</w:t>
      </w:r>
    </w:p>
    <w:p>
      <w:pPr>
        <w:pStyle w:val="Style11"/>
        <w:framePr w:w="2718" w:h="1909" w:hRule="exact" w:wrap="none" w:vAnchor="page" w:hAnchor="page" w:x="6500" w:y="1654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fldChar w:fldCharType="begin"/>
      </w:r>
      <w:r>
        <w:rPr>
          <w:color w:val="000000"/>
        </w:rPr>
        <w:instrText> HYPERLINK "mailto:mon@krao.ru"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mon@krao.ru</w:t>
      </w:r>
      <w:r>
        <w:fldChar w:fldCharType="end"/>
      </w:r>
    </w:p>
    <w:p>
      <w:pPr>
        <w:pStyle w:val="Style13"/>
        <w:framePr w:wrap="none" w:vAnchor="page" w:hAnchor="page" w:x="1600" w:y="56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проекте «Игры по финансовой грамотности»</w:t>
      </w:r>
    </w:p>
    <w:p>
      <w:pPr>
        <w:pStyle w:val="Style11"/>
        <w:framePr w:w="9331" w:h="318" w:hRule="exact" w:wrap="none" w:vAnchor="page" w:hAnchor="page" w:x="1600" w:y="639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Уважаемая Светлана Ивановна!</w:t>
      </w:r>
    </w:p>
    <w:p>
      <w:pPr>
        <w:pStyle w:val="Style11"/>
        <w:framePr w:w="9331" w:h="7438" w:hRule="exact" w:wrap="none" w:vAnchor="page" w:hAnchor="page" w:x="1600" w:y="7146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2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Центральный банк Российской Федерации в рамках реализации Стратегии повышения финансовой грамотности в Российской Федерации на 2017-2023 годы, утвержденной Правительством РФ 25.09.2017, проводит работу по повышению финансовой грамотности детей.</w:t>
      </w:r>
    </w:p>
    <w:p>
      <w:pPr>
        <w:pStyle w:val="Style11"/>
        <w:framePr w:w="9331" w:h="7438" w:hRule="exact" w:wrap="none" w:vAnchor="page" w:hAnchor="page" w:x="1600" w:y="7146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2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целью подбора, адаптации и распространения лучших игровых практик по финансовой грамотности Банк России продолжает реализацию проекта «Игры по финансовой грамотности» («ДОЛ-игра») (сайт проекта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URL: </w:t>
      </w:r>
      <w:r>
        <w:fldChar w:fldCharType="begin"/>
      </w:r>
      <w:r>
        <w:rPr>
          <w:color w:val="000000"/>
        </w:rPr>
        <w:instrText> HYPERLINK "http://doligra.ru"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http://doligra.ru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площадке проекта размещаются сценарии игр и методические материалы, которые могут быть использованы для проведения игр как в детских лагерях дневного пребывания на базе образовательных организаций, в загородных лагерях, так и в течение учебного года в образовательных организациях в рамках программ дополнительного образования, в организациях для детей-сирот и детей, оставшихся без попечения родителей. Игры помогают разнообразить учебный процесс при изучении тем финансовой грамотности и организовать внеурочную деятельность в увлекательной и полезной форме.</w:t>
      </w:r>
    </w:p>
    <w:p>
      <w:pPr>
        <w:pStyle w:val="Style15"/>
        <w:framePr w:w="9331" w:h="1132" w:hRule="exact" w:wrap="none" w:vAnchor="page" w:hAnchor="page" w:x="1600" w:y="15331"/>
        <w:tabs>
          <w:tab w:leader="underscore" w:pos="64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60" w:right="600" w:firstLine="0"/>
      </w:pPr>
      <w:r>
        <w:rPr>
          <w:rStyle w:val="CharStyle17"/>
        </w:rPr>
        <w:t xml:space="preserve">Министерство образован^ Красноярского края Входящий № 75- </w:t>
      </w:r>
      <w:r>
        <w:rPr>
          <w:rStyle w:val="CharStyle17"/>
          <w:vertAlign w:val="superscript"/>
        </w:rPr>
        <w:t>:&lt;</w:t>
      </w:r>
      <w:r>
        <w:rPr>
          <w:rStyle w:val="CharStyle17"/>
        </w:rPr>
        <w:tab/>
        <w:t xml:space="preserve">» </w:t>
      </w:r>
      <w:r>
        <w:rPr>
          <w:rStyle w:val="CharStyle18"/>
        </w:rPr>
        <w:t>18 АПР</w:t>
      </w:r>
      <w:r>
        <w:rPr>
          <w:rStyle w:val="CharStyle17"/>
        </w:rPr>
        <w:t xml:space="preserve"> </w:t>
      </w:r>
      <w:r>
        <w:rPr>
          <w:rStyle w:val="CharStyle19"/>
        </w:rPr>
        <w:t>2022/20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6233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22"/>
        <w:framePr w:w="9072" w:h="7434" w:hRule="exact" w:wrap="none" w:vAnchor="page" w:hAnchor="page" w:x="1754" w:y="12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Банк России призывает вожатых, методистов детских оздоровительных лагерей, педагогов образовательных организаций и организаций для детей- сирот и детей, оставшихся без попечения родителей, принять участие в проекте. Для этого необходимо зарегистрироваться на сайте </w:t>
      </w:r>
      <w:r>
        <w:fldChar w:fldCharType="begin"/>
      </w:r>
      <w:r>
        <w:rPr>
          <w:color w:val="000000"/>
        </w:rPr>
        <w:instrText> HYPERLINK "http://doligra.ru"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http://doligra.ru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скачать понравившуюся игру.</w:t>
      </w:r>
    </w:p>
    <w:p>
      <w:pPr>
        <w:pStyle w:val="Style22"/>
        <w:framePr w:w="9072" w:h="7434" w:hRule="exact" w:wrap="none" w:vAnchor="page" w:hAnchor="page" w:x="1754" w:y="12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Также информируем, что в рамках проекта «Игры по финансовой грамотности» Банком России организованы и регулярно проводятся вебинары для организаторов детского отдыха, методистов, вожатых, педагогов образовательных организаций и организаций для детей-сирот и детей, оставшихся без попечения родителей по методике проведения игр и разъяснению организационных вопросов. Подключиться к вебинарам и ознакомиться с актуальным расписанием можно на сайте </w:t>
      </w:r>
      <w:r>
        <w:fldChar w:fldCharType="begin"/>
      </w:r>
      <w:r>
        <w:rPr>
          <w:color w:val="000000"/>
        </w:rPr>
        <w:instrText> HYPERLINK "https://doligra.ru/vebinar"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https://doligra.ru/vebinar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2"/>
        <w:framePr w:w="9072" w:h="7434" w:hRule="exact" w:wrap="none" w:vAnchor="page" w:hAnchor="page" w:x="1754" w:y="12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Просим Вас оказать содействие в доведении данной информации до подведомственных организаций и заинтересованных лиц.</w:t>
      </w:r>
    </w:p>
    <w:p>
      <w:pPr>
        <w:pStyle w:val="Style22"/>
        <w:framePr w:w="9072" w:h="7434" w:hRule="exact" w:wrap="none" w:vAnchor="page" w:hAnchor="page" w:x="1754" w:y="12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Надеемся на плодотворное сотрудничество.</w:t>
      </w:r>
    </w:p>
    <w:p>
      <w:pPr>
        <w:pStyle w:val="Style22"/>
        <w:framePr w:w="9072" w:h="677" w:hRule="exact" w:wrap="none" w:vAnchor="page" w:hAnchor="page" w:x="1754" w:y="9513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Управляющий</w:t>
        <w:br/>
        <w:t>Отделением Красноярск</w:t>
      </w:r>
    </w:p>
    <w:p>
      <w:pPr>
        <w:framePr w:wrap="none" w:vAnchor="page" w:hAnchor="page" w:x="7687" w:y="9059"/>
        <w:widowControl w:val="0"/>
        <w:rPr>
          <w:sz w:val="2"/>
          <w:szCs w:val="2"/>
        </w:rPr>
      </w:pPr>
      <w:r>
        <w:pict>
          <v:shape id="_x0000_s1027" type="#_x0000_t75" style="width:152pt;height:70pt;">
            <v:imagedata r:id="rId7" r:href="rId8"/>
          </v:shape>
        </w:pict>
      </w:r>
    </w:p>
    <w:p>
      <w:pPr>
        <w:pStyle w:val="Style24"/>
        <w:framePr w:w="9072" w:h="494" w:hRule="exact" w:wrap="none" w:vAnchor="page" w:hAnchor="page" w:x="1754" w:y="15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Мызникова А.А. </w:t>
      </w:r>
      <w:r>
        <w:rPr>
          <w:rStyle w:val="CharStyle26"/>
          <w:b/>
          <w:bCs/>
        </w:rPr>
        <w:t>(</w:t>
      </w:r>
      <w:r>
        <w:rPr>
          <w:rStyle w:val="CharStyle27"/>
        </w:rPr>
        <w:t>391</w:t>
      </w:r>
      <w:r>
        <w:rPr>
          <w:rStyle w:val="CharStyle26"/>
          <w:b/>
          <w:bCs/>
        </w:rPr>
        <w:t xml:space="preserve">) </w:t>
      </w:r>
      <w:r>
        <w:rPr>
          <w:rStyle w:val="CharStyle27"/>
        </w:rPr>
        <w:t>227</w:t>
      </w:r>
      <w:r>
        <w:rPr>
          <w:rStyle w:val="CharStyle26"/>
          <w:b/>
          <w:bCs/>
        </w:rPr>
        <w:t>-</w:t>
      </w:r>
      <w:r>
        <w:rPr>
          <w:rStyle w:val="CharStyle27"/>
        </w:rPr>
        <w:t>03-28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Основной текст (5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5) + Малые прописные"/>
    <w:basedOn w:val="CharStyle8"/>
    <w:rPr>
      <w:lang w:val="ru-RU" w:eastAsia="ru-RU" w:bidi="ru-RU"/>
      <w:u w:val="single"/>
      <w:smallCaps/>
      <w:w w:val="100"/>
      <w:spacing w:val="0"/>
      <w:color w:val="000000"/>
      <w:position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Основной текст (7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character" w:customStyle="1" w:styleId="CharStyle17">
    <w:name w:val="Основной текст (7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7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">
    <w:name w:val="Основной текст (7) + Интервал -1 pt"/>
    <w:basedOn w:val="CharStyle16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21">
    <w:name w:val="Колонтитул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character" w:customStyle="1" w:styleId="CharStyle23">
    <w:name w:val="Основной текст (8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5">
    <w:name w:val="Основной текст (9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6">
    <w:name w:val="Основной текст (9) + 8,5 pt,Полужирный"/>
    <w:basedOn w:val="CharStyle25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7">
    <w:name w:val="Основной текст (9) + 9 pt"/>
    <w:basedOn w:val="CharStyle25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25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60" w:after="60"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before="180" w:line="38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before="540" w:after="6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spacing w:before="60" w:after="5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spacing w:before="660" w:line="26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jc w:val="both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4">
    <w:name w:val="Основной текст (9)"/>
    <w:basedOn w:val="Normal"/>
    <w:link w:val="CharStyle25"/>
    <w:pPr>
      <w:widowControl w:val="0"/>
      <w:shd w:val="clear" w:color="auto" w:fill="FFFFFF"/>
      <w:spacing w:before="5040"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